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 w:hAnsi="Carlito "/>
          <w:sz w:val="24"/>
          <w:szCs w:val="24"/>
        </w:rPr>
      </w:pPr>
      <w:r>
        <w:rPr>
          <w:rFonts w:ascii="Carlito " w:hAnsi="Carlito "/>
          <w:b/>
          <w:i w:val="false"/>
          <w:iCs w:val="false"/>
          <w:color w:val="000000"/>
          <w:sz w:val="24"/>
          <w:szCs w:val="24"/>
        </w:rPr>
        <w:t>BATALHÃO DE OPERAÇÕES ESPECIAIS DE FUZILEIROS NAVAIS</w:t>
      </w:r>
    </w:p>
    <w:p>
      <w:pPr>
        <w:pStyle w:val="Normal"/>
        <w:spacing w:lineRule="auto" w:line="276"/>
        <w:jc w:val="center"/>
        <w:rPr/>
      </w:pPr>
      <w:r>
        <w:rPr>
          <w:rFonts w:ascii="Carlito " w:hAnsi="Carlito "/>
          <w:b/>
          <w:i w:val="false"/>
          <w:iCs w:val="false"/>
          <w:color w:val="000000"/>
          <w:sz w:val="24"/>
          <w:szCs w:val="24"/>
        </w:rPr>
        <w:t xml:space="preserve">AVISO DE DISPENSA ELETRÔNICA Nº </w:t>
      </w:r>
      <w:r>
        <w:rPr>
          <w:rFonts w:eastAsia="Arial" w:cs="Arial" w:ascii="Carlito " w:hAnsi="Carlito "/>
          <w:b/>
          <w:i w:val="false"/>
          <w:iCs w:val="false"/>
          <w:color w:val="000000"/>
          <w:kern w:val="0"/>
          <w:sz w:val="24"/>
          <w:szCs w:val="24"/>
          <w:lang w:val="pt-BR" w:eastAsia="zh-CN" w:bidi="hi-IN"/>
        </w:rPr>
        <w:t>13</w:t>
      </w:r>
      <w:r>
        <w:rPr>
          <w:rFonts w:eastAsia="Arial" w:cs="Arial" w:ascii="Carlito " w:hAnsi="Carlito "/>
          <w:b/>
          <w:i w:val="false"/>
          <w:iCs w:val="false"/>
          <w:color w:val="000000"/>
          <w:kern w:val="0"/>
          <w:sz w:val="24"/>
          <w:szCs w:val="24"/>
          <w:lang w:val="pt-BR" w:eastAsia="zh-CN" w:bidi="hi-IN"/>
        </w:rPr>
        <w:t>8</w:t>
      </w:r>
      <w:r>
        <w:rPr>
          <w:rFonts w:ascii="Carlito " w:hAnsi="Carlito "/>
          <w:b/>
          <w:i w:val="false"/>
          <w:iCs w:val="false"/>
          <w:color w:val="000000"/>
          <w:sz w:val="24"/>
          <w:szCs w:val="24"/>
        </w:rPr>
        <w:t>/2023</w:t>
      </w:r>
    </w:p>
    <w:p>
      <w:pPr>
        <w:pStyle w:val="Normal"/>
        <w:spacing w:lineRule="auto" w:line="276" w:before="0" w:after="120"/>
        <w:ind w:right="-15" w:hanging="0"/>
        <w:jc w:val="center"/>
        <w:rPr/>
      </w:pPr>
      <w:r>
        <w:rPr>
          <w:rFonts w:ascii="Carlito " w:hAnsi="Carlito "/>
          <w:b/>
          <w:i w:val="false"/>
          <w:iCs w:val="false"/>
          <w:color w:val="000000"/>
          <w:sz w:val="24"/>
          <w:szCs w:val="24"/>
        </w:rPr>
        <w:t>(Processo Administrativo n.</w:t>
      </w:r>
      <w:r>
        <w:rPr>
          <w:rStyle w:val="Nfaseforte"/>
          <w:rFonts w:eastAsia="Arial" w:cs="Arial" w:ascii="Carlito " w:hAnsi="Carlito "/>
          <w:b/>
          <w:bCs/>
          <w:i w:val="false"/>
          <w:iCs w:val="false"/>
          <w:color w:val="000000"/>
          <w:sz w:val="24"/>
          <w:szCs w:val="24"/>
          <w:lang w:eastAsia="ar-SA"/>
        </w:rPr>
        <w:t>°</w:t>
      </w:r>
      <w:r>
        <w:rPr>
          <w:rStyle w:val="Nfaseforte"/>
          <w:rFonts w:eastAsia="Times New Roman" w:cs="Arial" w:ascii="Carlito " w:hAnsi="Carlito "/>
          <w:b/>
          <w:bCs/>
          <w:i w:val="false"/>
          <w:iCs w:val="false"/>
          <w:color w:val="000000"/>
          <w:kern w:val="0"/>
          <w:sz w:val="24"/>
          <w:szCs w:val="24"/>
          <w:shd w:fill="auto" w:val="clear"/>
          <w:lang w:val="pt-BR" w:eastAsia="pt-BR" w:bidi="ar-SA"/>
        </w:rPr>
        <w:t xml:space="preserve"> </w:t>
      </w:r>
      <w:r>
        <w:rPr>
          <w:rStyle w:val="Nfaseforte"/>
          <w:rFonts w:eastAsia="Times New Roman" w:cs="Arial" w:ascii="Carlito " w:hAnsi="Carlito "/>
          <w:i w:val="false"/>
          <w:iCs w:val="false"/>
          <w:color w:val="000000"/>
          <w:kern w:val="0"/>
          <w:sz w:val="24"/>
          <w:szCs w:val="24"/>
          <w:shd w:fill="FFFFFF" w:val="clear"/>
          <w:lang w:val="pt-BR" w:eastAsia="pt-BR" w:bidi="ar-SA"/>
        </w:rPr>
        <w:t>63430.002481/2023-42</w:t>
      </w:r>
      <w:r>
        <w:rPr>
          <w:rStyle w:val="Nfaseforte"/>
          <w:rFonts w:eastAsia="Times New Roman" w:cs="Arial" w:ascii="Carlito " w:hAnsi="Carlito "/>
          <w:i w:val="false"/>
          <w:iCs w:val="false"/>
          <w:color w:val="000000"/>
          <w:kern w:val="0"/>
          <w:sz w:val="24"/>
          <w:szCs w:val="24"/>
          <w:lang w:val="pt-BR" w:eastAsia="pt-BR" w:bidi="ar-SA"/>
        </w:rPr>
        <w:t>)</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rlito " w:hAnsi="Carlito "/>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 w:hAnsi="Carlito "/>
          <w:b/>
          <w:i w:val="false"/>
          <w:iCs w:val="false"/>
          <w:color w:val="000000"/>
          <w:sz w:val="24"/>
          <w:szCs w:val="24"/>
        </w:rPr>
        <w:t xml:space="preserve"> </w:t>
      </w:r>
      <w:r>
        <w:rPr>
          <w:rFonts w:ascii="Carlito " w:hAnsi="Carlito "/>
          <w:b w:val="false"/>
          <w:bCs w:val="false"/>
          <w:i w:val="false"/>
          <w:iCs w:val="false"/>
          <w:color w:val="000000"/>
          <w:sz w:val="24"/>
          <w:szCs w:val="24"/>
        </w:rPr>
        <w:t>menor preço,</w:t>
      </w:r>
      <w:r>
        <w:rPr>
          <w:rFonts w:ascii="Carlito " w:hAnsi="Carlito "/>
          <w:b/>
          <w:i w:val="false"/>
          <w:iCs w:val="false"/>
          <w:color w:val="000000"/>
          <w:sz w:val="24"/>
          <w:szCs w:val="24"/>
        </w:rPr>
        <w:t xml:space="preserve"> </w:t>
      </w:r>
      <w:r>
        <w:rPr>
          <w:rFonts w:ascii="Carlito " w:hAnsi="Carlito "/>
          <w:i w:val="false"/>
          <w:iCs w:val="false"/>
          <w:color w:val="000000"/>
          <w:sz w:val="24"/>
          <w:szCs w:val="24"/>
        </w:rPr>
        <w:t>na hipótese do art. 75, inciso</w:t>
      </w:r>
      <w:r>
        <w:rPr>
          <w:rFonts w:ascii="Carlito " w:hAnsi="Carlito "/>
          <w:b/>
          <w:i w:val="false"/>
          <w:iCs w:val="false"/>
          <w:color w:val="000000"/>
          <w:sz w:val="24"/>
          <w:szCs w:val="24"/>
        </w:rPr>
        <w:t xml:space="preserve"> II</w:t>
      </w:r>
      <w:r>
        <w:rPr>
          <w:rFonts w:ascii="Carlito " w:hAnsi="Carlito "/>
          <w:i w:val="false"/>
          <w:iCs w:val="false"/>
          <w:color w:val="000000"/>
          <w:sz w:val="24"/>
          <w:szCs w:val="24"/>
        </w:rPr>
        <w:t>,</w:t>
      </w:r>
      <w:r>
        <w:rPr>
          <w:rFonts w:ascii="Carlito " w:hAnsi="Carlito "/>
          <w:i w:val="false"/>
          <w:iCs w:val="false"/>
          <w:color w:val="FF0000"/>
          <w:sz w:val="24"/>
          <w:szCs w:val="24"/>
        </w:rPr>
        <w:t xml:space="preserve"> </w:t>
      </w:r>
      <w:r>
        <w:rPr>
          <w:rFonts w:ascii="Carlito " w:hAnsi="Carlito "/>
          <w:i w:val="false"/>
          <w:iCs w:val="false"/>
          <w:sz w:val="24"/>
          <w:szCs w:val="24"/>
        </w:rPr>
        <w:t>nos termos da Lei nº 14.133, de 1º de abril de 2021, da Instrução Normativa SEGES/ME nº 67/2021 e demais legislação aplicável</w:t>
      </w:r>
      <w:r>
        <w:rPr>
          <w:rFonts w:ascii="Carlito " w:hAnsi="Carlito "/>
          <w:i w:val="false"/>
          <w:iCs w:val="false"/>
          <w:color w:val="000000"/>
          <w:sz w:val="24"/>
          <w:szCs w:val="24"/>
        </w:rPr>
        <w:t>.</w:t>
      </w:r>
    </w:p>
    <w:p>
      <w:pPr>
        <w:pStyle w:val="Normal"/>
        <w:spacing w:lineRule="auto" w:line="276"/>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jc w:val="both"/>
        <w:rPr>
          <w:rFonts w:ascii="Carlito " w:hAnsi="Carlito "/>
          <w:sz w:val="24"/>
          <w:szCs w:val="24"/>
        </w:rPr>
      </w:pPr>
      <w:r>
        <w:rPr>
          <w:rFonts w:ascii="Carlito " w:hAnsi="Carlito "/>
          <w:i w:val="false"/>
          <w:iCs w:val="false"/>
          <w:color w:val="000000"/>
          <w:sz w:val="24"/>
          <w:szCs w:val="24"/>
        </w:rPr>
        <w:t>Data da sessão:         /         /2023</w:t>
      </w:r>
    </w:p>
    <w:p>
      <w:pPr>
        <w:pStyle w:val="Normal"/>
        <w:jc w:val="both"/>
        <w:rPr>
          <w:rFonts w:ascii="Carlito " w:hAnsi="Carlito "/>
          <w:sz w:val="24"/>
          <w:szCs w:val="24"/>
        </w:rPr>
      </w:pPr>
      <w:r>
        <w:rPr>
          <w:rFonts w:ascii="Carlito " w:hAnsi="Carlito "/>
          <w:i w:val="false"/>
          <w:iCs w:val="false"/>
          <w:color w:val="000000"/>
          <w:sz w:val="24"/>
          <w:szCs w:val="24"/>
        </w:rPr>
        <w:t>Link: https://www.comprasnet.gov.br/seguro/loginPortal.asp</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 w:hAnsi="Carlito "/>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w:t>
      </w:r>
      <w:r>
        <w:rPr>
          <w:rFonts w:eastAsia="Arial" w:cs="Arial" w:ascii="Carlito " w:hAnsi="Carlito "/>
          <w:b w:val="false"/>
          <w:bCs w:val="false"/>
          <w:i w:val="false"/>
          <w:iCs w:val="false"/>
          <w:caps w:val="false"/>
          <w:smallCaps w:val="false"/>
          <w:strike w:val="false"/>
          <w:dstrike w:val="false"/>
          <w:outline w:val="false"/>
          <w:shadow w:val="false"/>
          <w:color w:val="000000"/>
          <w:kern w:val="0"/>
          <w:position w:val="0"/>
          <w:sz w:val="24"/>
          <w:sz w:val="24"/>
          <w:szCs w:val="24"/>
          <w:u w:val="none"/>
          <w:shd w:fill="auto" w:val="clear"/>
          <w:vertAlign w:val="baseline"/>
          <w:em w:val="none"/>
          <w:lang w:val="pt-BR" w:eastAsia="zh-CN" w:bidi="hi-IN"/>
        </w:rPr>
        <w:t xml:space="preserve">hospitalar para a seção de saúde </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d</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kern w:val="0"/>
          <w:position w:val="0"/>
          <w:sz w:val="24"/>
          <w:sz w:val="24"/>
          <w:szCs w:val="24"/>
          <w:highlight w:val="white"/>
          <w:u w:val="none"/>
          <w:vertAlign w:val="baseline"/>
          <w:em w:val="none"/>
          <w:lang w:val="zxx" w:eastAsia="zxx" w:bidi="zxx"/>
        </w:rPr>
        <w:t>o batalhão</w:t>
      </w: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25" w:type="dxa"/>
        <w:jc w:val="left"/>
        <w:tblInd w:w="-580" w:type="dxa"/>
        <w:tblCellMar>
          <w:top w:w="0" w:type="dxa"/>
          <w:left w:w="58" w:type="dxa"/>
          <w:bottom w:w="0" w:type="dxa"/>
          <w:right w:w="108" w:type="dxa"/>
        </w:tblCellMar>
        <w:tblLook w:val="0400"/>
      </w:tblPr>
      <w:tblGrid>
        <w:gridCol w:w="700"/>
        <w:gridCol w:w="1625"/>
        <w:gridCol w:w="789"/>
        <w:gridCol w:w="1022"/>
        <w:gridCol w:w="1184"/>
        <w:gridCol w:w="917"/>
        <w:gridCol w:w="1185"/>
        <w:gridCol w:w="1149"/>
        <w:gridCol w:w="1241"/>
        <w:gridCol w:w="912"/>
      </w:tblGrid>
      <w:tr>
        <w:trPr/>
        <w:tc>
          <w:tcPr>
            <w:tcW w:w="7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ITEM</w:t>
            </w:r>
          </w:p>
          <w:p>
            <w:pPr>
              <w:pStyle w:val="Normal"/>
              <w:widowControl w:val="false"/>
              <w:jc w:val="both"/>
              <w:rPr>
                <w:rFonts w:ascii="Carlito " w:hAnsi="Carlito "/>
                <w:b/>
                <w:b/>
                <w:i w:val="false"/>
                <w:i w:val="false"/>
                <w:iCs w:val="false"/>
                <w:color w:val="000000"/>
                <w:sz w:val="14"/>
                <w:szCs w:val="14"/>
              </w:rPr>
            </w:pPr>
            <w:r>
              <w:rPr>
                <w:rFonts w:ascii="Carlito " w:hAnsi="Carlito "/>
                <w:b/>
                <w:i w:val="false"/>
                <w:iCs w:val="false"/>
                <w:color w:val="000000"/>
                <w:sz w:val="14"/>
                <w:szCs w:val="14"/>
              </w:rPr>
            </w:r>
          </w:p>
        </w:tc>
        <w:tc>
          <w:tcPr>
            <w:tcW w:w="162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DESCRIÇÃO/</w:t>
            </w:r>
          </w:p>
          <w:p>
            <w:pPr>
              <w:pStyle w:val="Normal"/>
              <w:widowControl w:val="false"/>
              <w:jc w:val="both"/>
              <w:rPr>
                <w:rFonts w:ascii="Carlito " w:hAnsi="Carlito "/>
                <w:sz w:val="24"/>
                <w:szCs w:val="24"/>
              </w:rPr>
            </w:pPr>
            <w:r>
              <w:rPr>
                <w:rFonts w:ascii="Carlito " w:hAnsi="Carlito "/>
                <w:b/>
                <w:i w:val="false"/>
                <w:iCs w:val="false"/>
                <w:color w:val="000000"/>
                <w:sz w:val="14"/>
                <w:szCs w:val="14"/>
              </w:rPr>
              <w:t>ESPECIFICAÇÃO</w:t>
            </w:r>
          </w:p>
        </w:tc>
        <w:tc>
          <w:tcPr>
            <w:tcW w:w="7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b/>
                <w:b/>
                <w:bCs/>
                <w:sz w:val="24"/>
                <w:szCs w:val="24"/>
              </w:rPr>
            </w:pPr>
            <w:r>
              <w:rPr>
                <w:b/>
                <w:bCs/>
                <w:sz w:val="14"/>
                <w:szCs w:val="14"/>
              </w:rPr>
              <w:t>PDM</w:t>
            </w:r>
          </w:p>
        </w:tc>
        <w:tc>
          <w:tcPr>
            <w:tcW w:w="1022"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both"/>
              <w:rPr>
                <w:rFonts w:ascii="Carlito " w:hAnsi="Carlito "/>
                <w:sz w:val="24"/>
                <w:szCs w:val="24"/>
              </w:rPr>
            </w:pPr>
            <w:r>
              <w:rPr>
                <w:rFonts w:ascii="Carlito " w:hAnsi="Carlito "/>
                <w:b/>
                <w:bCs/>
                <w:i w:val="false"/>
                <w:iCs w:val="false"/>
                <w:sz w:val="14"/>
                <w:szCs w:val="14"/>
              </w:rPr>
              <w:t>CATMAT/</w:t>
            </w:r>
          </w:p>
          <w:p>
            <w:pPr>
              <w:pStyle w:val="Default"/>
              <w:widowControl w:val="false"/>
              <w:jc w:val="both"/>
              <w:rPr>
                <w:rFonts w:ascii="Carlito " w:hAnsi="Carlito "/>
                <w:sz w:val="24"/>
                <w:szCs w:val="24"/>
              </w:rPr>
            </w:pPr>
            <w:r>
              <w:rPr>
                <w:rFonts w:ascii="Carlito " w:hAnsi="Carlito "/>
                <w:b/>
                <w:bCs/>
                <w:i w:val="false"/>
                <w:iCs w:val="false"/>
                <w:color w:val="000000"/>
                <w:sz w:val="14"/>
                <w:szCs w:val="14"/>
              </w:rPr>
              <w:t>CATSER</w:t>
            </w:r>
          </w:p>
        </w:tc>
        <w:tc>
          <w:tcPr>
            <w:tcW w:w="11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UNIDADE DE MEDIDA</w:t>
            </w:r>
          </w:p>
        </w:tc>
        <w:tc>
          <w:tcPr>
            <w:tcW w:w="9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QUANT.</w:t>
            </w:r>
          </w:p>
        </w:tc>
        <w:tc>
          <w:tcPr>
            <w:tcW w:w="11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bCs/>
                <w:i w:val="false"/>
                <w:iCs w:val="false"/>
                <w:sz w:val="14"/>
                <w:szCs w:val="14"/>
              </w:rPr>
              <w:t>PREÇO ESTIMADO UNITÁRIO</w:t>
            </w:r>
          </w:p>
        </w:tc>
        <w:tc>
          <w:tcPr>
            <w:tcW w:w="114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PREÇO ESTIMADO TOTAL</w:t>
            </w:r>
          </w:p>
        </w:tc>
        <w:tc>
          <w:tcPr>
            <w:tcW w:w="12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LOCAL DE ENTREGA</w:t>
            </w:r>
          </w:p>
        </w:tc>
        <w:tc>
          <w:tcPr>
            <w:tcW w:w="91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PRAZO DE ENTREGA</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1</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left"/>
              <w:rPr>
                <w:rFonts w:ascii="Carlito" w:hAnsi="Carlito" w:eastAsia="Times New Roman" w:cs="Tahoma"/>
                <w:color w:val="00000A"/>
                <w:sz w:val="18"/>
                <w:szCs w:val="18"/>
                <w:lang w:bidi="ar-SA"/>
              </w:rPr>
            </w:pPr>
            <w:r>
              <w:rPr>
                <w:rFonts w:eastAsia="Times New Roman" w:cs="Tahoma" w:ascii="Carlito" w:hAnsi="Carlito"/>
                <w:color w:val="00000A"/>
                <w:sz w:val="18"/>
                <w:szCs w:val="18"/>
                <w:lang w:bidi="ar-SA"/>
              </w:rPr>
              <w:t>Torniquete CAT – GEN 7</w:t>
            </w:r>
          </w:p>
          <w:p>
            <w:pPr>
              <w:pStyle w:val="Contedodatabela"/>
              <w:jc w:val="left"/>
              <w:rPr>
                <w:rFonts w:ascii="Carlito" w:hAnsi="Carlito" w:eastAsia="Times New Roman" w:cs="Tahoma"/>
                <w:color w:val="00000A"/>
                <w:sz w:val="18"/>
                <w:szCs w:val="18"/>
                <w:lang w:bidi="ar-SA"/>
              </w:rPr>
            </w:pPr>
            <w:r>
              <w:rPr>
                <w:rFonts w:eastAsia="Times New Roman" w:cs="Tahoma" w:ascii="Carlito" w:hAnsi="Carlito"/>
                <w:color w:val="00000A"/>
                <w:sz w:val="18"/>
                <w:szCs w:val="18"/>
                <w:lang w:bidi="ar-SA"/>
              </w:rPr>
              <w:t xml:space="preserve">torniquete ajustável para controle de hemorragias nas extremidades inferiores e superiores. Possui sistema de fechamento único que permite uma aplicação extremamente rápida e remoção suave, resultando em menor perda sanguínea, com  barra para sua estabilização. </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8"/>
                <w:szCs w:val="18"/>
                <w:highlight w:val="white"/>
              </w:rPr>
            </w:pPr>
            <w:r>
              <w:rPr>
                <w:rFonts w:eastAsia="Times New Roman" w:cs="Times New Roman" w:ascii="Carlito" w:hAnsi="Carlito"/>
                <w:b w:val="false"/>
                <w:bCs w:val="false"/>
                <w:color w:val="000000"/>
                <w:sz w:val="18"/>
                <w:szCs w:val="18"/>
                <w:highlight w:val="white"/>
              </w:rPr>
              <w:t>19647</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485515</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6</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eastAsia="Times New Roman" w:cs="Tahoma"/>
                <w:color w:val="00000A"/>
                <w:sz w:val="18"/>
                <w:szCs w:val="18"/>
                <w:lang w:bidi="ar-SA"/>
              </w:rPr>
            </w:pPr>
            <w:r>
              <w:rPr>
                <w:rFonts w:eastAsia="Times New Roman" w:cs="Tahoma" w:ascii="Carlito" w:hAnsi="Carlito"/>
                <w:color w:val="00000A"/>
                <w:sz w:val="18"/>
                <w:szCs w:val="18"/>
                <w:lang w:bidi="ar-SA"/>
              </w:rPr>
              <w:t>R$ 280,00</w:t>
            </w:r>
          </w:p>
        </w:tc>
        <w:tc>
          <w:tcPr>
            <w:tcW w:w="1149"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eastAsia="Times New Roman" w:cs="Tahoma"/>
                <w:color w:val="000000"/>
                <w:sz w:val="18"/>
                <w:szCs w:val="18"/>
                <w:lang w:bidi="ar-SA"/>
              </w:rPr>
            </w:pPr>
            <w:r>
              <w:rPr>
                <w:rFonts w:eastAsia="Times New Roman" w:cs="Tahoma" w:ascii="Carlito" w:hAnsi="Carlito"/>
                <w:color w:val="000000"/>
                <w:sz w:val="18"/>
                <w:szCs w:val="18"/>
                <w:lang w:bidi="ar-SA"/>
              </w:rPr>
              <w:t>R$ 1.680,00</w:t>
            </w:r>
          </w:p>
        </w:tc>
        <w:tc>
          <w:tcPr>
            <w:tcW w:w="124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Batalhão de Operações Especiais de Fuzileiros Navais</w:t>
            </w:r>
          </w:p>
        </w:tc>
        <w:tc>
          <w:tcPr>
            <w:tcW w:w="91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15 DIAS</w:t>
            </w:r>
          </w:p>
        </w:tc>
      </w:tr>
      <w:tr>
        <w:trPr>
          <w:trHeight w:val="1055" w:hRule="atLeast"/>
        </w:trPr>
        <w:tc>
          <w:tcPr>
            <w:tcW w:w="700"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2</w:t>
            </w:r>
          </w:p>
        </w:tc>
        <w:tc>
          <w:tcPr>
            <w:tcW w:w="1625" w:type="dxa"/>
            <w:tcBorders>
              <w:left w:val="single" w:sz="4" w:space="0" w:color="000001"/>
              <w:bottom w:val="single" w:sz="4" w:space="0" w:color="000001"/>
              <w:right w:val="single" w:sz="4" w:space="0" w:color="000001"/>
            </w:tcBorders>
            <w:shd w:fill="auto" w:val="clear"/>
            <w:vAlign w:val="center"/>
          </w:tcPr>
          <w:p>
            <w:pPr>
              <w:pStyle w:val="Contedodatabela"/>
              <w:jc w:val="left"/>
              <w:rPr>
                <w:rFonts w:ascii="Carlito" w:hAnsi="Carlito"/>
                <w:sz w:val="18"/>
                <w:szCs w:val="18"/>
              </w:rPr>
            </w:pPr>
            <w:r>
              <w:rPr>
                <w:rFonts w:ascii="Carlito" w:hAnsi="Carlito"/>
                <w:sz w:val="18"/>
                <w:szCs w:val="18"/>
              </w:rPr>
              <w:t>Chest seal combo( valvulado e não valvulado)</w:t>
            </w:r>
          </w:p>
          <w:p>
            <w:pPr>
              <w:pStyle w:val="Contedodatabela"/>
              <w:jc w:val="left"/>
              <w:rPr>
                <w:rFonts w:ascii="Carlito" w:hAnsi="Carlito"/>
                <w:sz w:val="18"/>
                <w:szCs w:val="18"/>
              </w:rPr>
            </w:pPr>
            <w:r>
              <w:rPr>
                <w:rFonts w:ascii="Carlito" w:hAnsi="Carlito"/>
                <w:sz w:val="18"/>
                <w:szCs w:val="18"/>
              </w:rPr>
              <w:t>kit que possui dois curativos táticos compostos de um curativo com válvula onidirecional e um curativo oclusivo. Curativos em hidrogel de alto desempenho, com elasticidade para aderência em qualquer curvatura do corpo, curativo de 23x19 cm, transparente, com abas de proteção removíveis para os adesivos. Deve possuir registro anvisa.</w:t>
            </w:r>
          </w:p>
        </w:tc>
        <w:tc>
          <w:tcPr>
            <w:tcW w:w="789" w:type="dxa"/>
            <w:tcBorders>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8"/>
                <w:szCs w:val="18"/>
                <w:highlight w:val="white"/>
              </w:rPr>
            </w:pPr>
            <w:r>
              <w:rPr>
                <w:rFonts w:eastAsia="Times New Roman" w:cs="Times New Roman" w:ascii="Carlito" w:hAnsi="Carlito"/>
                <w:b w:val="false"/>
                <w:bCs w:val="false"/>
                <w:color w:val="000000"/>
                <w:sz w:val="18"/>
                <w:szCs w:val="18"/>
                <w:highlight w:val="white"/>
              </w:rPr>
              <w:t>19965</w:t>
            </w:r>
          </w:p>
        </w:tc>
        <w:tc>
          <w:tcPr>
            <w:tcW w:w="1022"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486551</w:t>
            </w:r>
          </w:p>
        </w:tc>
        <w:tc>
          <w:tcPr>
            <w:tcW w:w="1184"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UN</w:t>
            </w:r>
          </w:p>
        </w:tc>
        <w:tc>
          <w:tcPr>
            <w:tcW w:w="917"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4</w:t>
            </w:r>
          </w:p>
        </w:tc>
        <w:tc>
          <w:tcPr>
            <w:tcW w:w="1185"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R$ 300,00</w:t>
            </w:r>
          </w:p>
        </w:tc>
        <w:tc>
          <w:tcPr>
            <w:tcW w:w="1149"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eastAsia="Times New Roman" w:cs="Tahoma"/>
                <w:color w:val="000000"/>
                <w:sz w:val="18"/>
                <w:szCs w:val="18"/>
                <w:lang w:bidi="ar-SA"/>
              </w:rPr>
            </w:pPr>
            <w:r>
              <w:rPr>
                <w:rFonts w:eastAsia="Times New Roman" w:cs="Tahoma" w:ascii="Carlito" w:hAnsi="Carlito"/>
                <w:color w:val="000000"/>
                <w:sz w:val="18"/>
                <w:szCs w:val="18"/>
                <w:lang w:bidi="ar-SA"/>
              </w:rPr>
              <w:t>R$ 1.200,00</w:t>
            </w:r>
          </w:p>
        </w:tc>
        <w:tc>
          <w:tcPr>
            <w:tcW w:w="1241"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Batalhão de Operações Especiais de Fuzileiros Navais</w:t>
            </w:r>
          </w:p>
        </w:tc>
        <w:tc>
          <w:tcPr>
            <w:tcW w:w="912"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15 DIAS</w:t>
            </w:r>
          </w:p>
        </w:tc>
      </w:tr>
      <w:tr>
        <w:trPr>
          <w:trHeight w:val="1055" w:hRule="atLeast"/>
        </w:trPr>
        <w:tc>
          <w:tcPr>
            <w:tcW w:w="700"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3</w:t>
            </w:r>
          </w:p>
        </w:tc>
        <w:tc>
          <w:tcPr>
            <w:tcW w:w="1625" w:type="dxa"/>
            <w:tcBorders>
              <w:left w:val="single" w:sz="4" w:space="0" w:color="000001"/>
              <w:bottom w:val="single" w:sz="4" w:space="0" w:color="000001"/>
              <w:right w:val="single" w:sz="4" w:space="0" w:color="000001"/>
            </w:tcBorders>
            <w:shd w:fill="auto" w:val="clear"/>
            <w:vAlign w:val="center"/>
          </w:tcPr>
          <w:p>
            <w:pPr>
              <w:pStyle w:val="Contedodatabela"/>
              <w:jc w:val="left"/>
              <w:rPr>
                <w:rFonts w:ascii="Carlito" w:hAnsi="Carlito"/>
                <w:sz w:val="18"/>
                <w:szCs w:val="18"/>
              </w:rPr>
            </w:pPr>
            <w:r>
              <w:rPr>
                <w:rFonts w:ascii="Carlito" w:hAnsi="Carlito"/>
                <w:sz w:val="18"/>
                <w:szCs w:val="18"/>
              </w:rPr>
              <w:t xml:space="preserve">Cânula nasofaríngea 7mm. </w:t>
            </w:r>
          </w:p>
        </w:tc>
        <w:tc>
          <w:tcPr>
            <w:tcW w:w="789" w:type="dxa"/>
            <w:tcBorders>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8"/>
                <w:szCs w:val="18"/>
                <w:highlight w:val="white"/>
              </w:rPr>
            </w:pPr>
            <w:r>
              <w:rPr>
                <w:rFonts w:eastAsia="Times New Roman" w:cs="Times New Roman" w:ascii="Carlito" w:hAnsi="Carlito"/>
                <w:b w:val="false"/>
                <w:bCs w:val="false"/>
                <w:color w:val="000000"/>
                <w:sz w:val="18"/>
                <w:szCs w:val="18"/>
                <w:highlight w:val="white"/>
              </w:rPr>
              <w:t>9413</w:t>
            </w:r>
          </w:p>
        </w:tc>
        <w:tc>
          <w:tcPr>
            <w:tcW w:w="1022"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474779</w:t>
            </w:r>
          </w:p>
        </w:tc>
        <w:tc>
          <w:tcPr>
            <w:tcW w:w="1184"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UN</w:t>
            </w:r>
          </w:p>
        </w:tc>
        <w:tc>
          <w:tcPr>
            <w:tcW w:w="917"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6</w:t>
            </w:r>
          </w:p>
        </w:tc>
        <w:tc>
          <w:tcPr>
            <w:tcW w:w="1185"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R$ 50,00</w:t>
            </w:r>
          </w:p>
        </w:tc>
        <w:tc>
          <w:tcPr>
            <w:tcW w:w="1149"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eastAsia="Times New Roman" w:cs="Tahoma"/>
                <w:color w:val="000000"/>
                <w:sz w:val="18"/>
                <w:szCs w:val="18"/>
                <w:lang w:bidi="ar-SA"/>
              </w:rPr>
            </w:pPr>
            <w:r>
              <w:rPr>
                <w:rFonts w:eastAsia="Times New Roman" w:cs="Tahoma" w:ascii="Carlito" w:hAnsi="Carlito"/>
                <w:color w:val="000000"/>
                <w:sz w:val="18"/>
                <w:szCs w:val="18"/>
                <w:lang w:bidi="ar-SA"/>
              </w:rPr>
              <w:t>R$ 300,00</w:t>
            </w:r>
          </w:p>
        </w:tc>
        <w:tc>
          <w:tcPr>
            <w:tcW w:w="1241"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Batalhão de Operações Especiais de Fuzileiros Navais</w:t>
            </w:r>
          </w:p>
        </w:tc>
        <w:tc>
          <w:tcPr>
            <w:tcW w:w="912"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15 DIAS</w:t>
            </w:r>
          </w:p>
        </w:tc>
      </w:tr>
      <w:tr>
        <w:trPr>
          <w:trHeight w:val="1055" w:hRule="atLeast"/>
        </w:trPr>
        <w:tc>
          <w:tcPr>
            <w:tcW w:w="700"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w:t>
            </w:r>
          </w:p>
        </w:tc>
        <w:tc>
          <w:tcPr>
            <w:tcW w:w="1625" w:type="dxa"/>
            <w:tcBorders>
              <w:left w:val="single" w:sz="4" w:space="0" w:color="000001"/>
              <w:bottom w:val="single" w:sz="4" w:space="0" w:color="000001"/>
              <w:right w:val="single" w:sz="4" w:space="0" w:color="000001"/>
            </w:tcBorders>
            <w:shd w:fill="auto" w:val="clear"/>
            <w:vAlign w:val="center"/>
          </w:tcPr>
          <w:p>
            <w:pPr>
              <w:pStyle w:val="Contedodatabela"/>
              <w:jc w:val="left"/>
              <w:rPr>
                <w:rFonts w:ascii="Carlito" w:hAnsi="Carlito"/>
                <w:sz w:val="18"/>
                <w:szCs w:val="18"/>
              </w:rPr>
            </w:pPr>
            <w:r>
              <w:rPr>
                <w:rFonts w:ascii="Carlito" w:hAnsi="Carlito"/>
                <w:sz w:val="18"/>
                <w:szCs w:val="18"/>
              </w:rPr>
              <w:t>Agulha de descompressão torácica de calibre 14G, 8cm de comprimento, recomendada para tratamento pneumotórax hipertensivo.</w:t>
            </w:r>
          </w:p>
        </w:tc>
        <w:tc>
          <w:tcPr>
            <w:tcW w:w="789" w:type="dxa"/>
            <w:tcBorders>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8"/>
                <w:szCs w:val="18"/>
                <w:highlight w:val="white"/>
              </w:rPr>
            </w:pPr>
            <w:r>
              <w:rPr>
                <w:rFonts w:eastAsia="Times New Roman" w:cs="Times New Roman" w:ascii="Carlito" w:hAnsi="Carlito"/>
                <w:b w:val="false"/>
                <w:bCs w:val="false"/>
                <w:color w:val="000000"/>
                <w:sz w:val="18"/>
                <w:szCs w:val="18"/>
                <w:highlight w:val="white"/>
              </w:rPr>
              <w:t>16531</w:t>
            </w:r>
          </w:p>
        </w:tc>
        <w:tc>
          <w:tcPr>
            <w:tcW w:w="1022"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368256</w:t>
            </w:r>
          </w:p>
        </w:tc>
        <w:tc>
          <w:tcPr>
            <w:tcW w:w="1184"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UN</w:t>
            </w:r>
          </w:p>
        </w:tc>
        <w:tc>
          <w:tcPr>
            <w:tcW w:w="917"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4</w:t>
            </w:r>
          </w:p>
        </w:tc>
        <w:tc>
          <w:tcPr>
            <w:tcW w:w="1185"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R$ 170,00</w:t>
            </w:r>
          </w:p>
        </w:tc>
        <w:tc>
          <w:tcPr>
            <w:tcW w:w="1149"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eastAsia="Times New Roman" w:cs="Tahoma"/>
                <w:color w:val="000000"/>
                <w:sz w:val="18"/>
                <w:szCs w:val="18"/>
                <w:lang w:bidi="ar-SA"/>
              </w:rPr>
            </w:pPr>
            <w:r>
              <w:rPr>
                <w:rFonts w:eastAsia="Times New Roman" w:cs="Tahoma" w:ascii="Carlito" w:hAnsi="Carlito"/>
                <w:color w:val="000000"/>
                <w:sz w:val="18"/>
                <w:szCs w:val="18"/>
                <w:lang w:bidi="ar-SA"/>
              </w:rPr>
              <w:t>R$ 680,00</w:t>
            </w:r>
          </w:p>
        </w:tc>
        <w:tc>
          <w:tcPr>
            <w:tcW w:w="1241"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Batalhão de Operações Especiais de Fuzileiros Navais</w:t>
            </w:r>
          </w:p>
        </w:tc>
        <w:tc>
          <w:tcPr>
            <w:tcW w:w="912"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15 DIAS</w:t>
            </w:r>
          </w:p>
        </w:tc>
      </w:tr>
      <w:tr>
        <w:trPr>
          <w:trHeight w:val="1055" w:hRule="atLeast"/>
        </w:trPr>
        <w:tc>
          <w:tcPr>
            <w:tcW w:w="700"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5</w:t>
            </w:r>
          </w:p>
        </w:tc>
        <w:tc>
          <w:tcPr>
            <w:tcW w:w="1625" w:type="dxa"/>
            <w:tcBorders>
              <w:left w:val="single" w:sz="4" w:space="0" w:color="000001"/>
              <w:bottom w:val="single" w:sz="4" w:space="0" w:color="000001"/>
              <w:right w:val="single" w:sz="4" w:space="0" w:color="000001"/>
            </w:tcBorders>
            <w:shd w:fill="auto" w:val="clear"/>
            <w:vAlign w:val="center"/>
          </w:tcPr>
          <w:p>
            <w:pPr>
              <w:pStyle w:val="Contedodatabela"/>
              <w:jc w:val="left"/>
              <w:rPr>
                <w:rFonts w:ascii="Carlito" w:hAnsi="Carlito"/>
                <w:sz w:val="18"/>
                <w:szCs w:val="18"/>
              </w:rPr>
            </w:pPr>
            <w:r>
              <w:rPr>
                <w:rFonts w:ascii="Carlito" w:hAnsi="Carlito"/>
                <w:sz w:val="18"/>
                <w:szCs w:val="18"/>
              </w:rPr>
              <w:t xml:space="preserve">Imobilizador pélvico tamanho padrão ajustável para cintura de 81 à 127cm </w:t>
            </w:r>
          </w:p>
        </w:tc>
        <w:tc>
          <w:tcPr>
            <w:tcW w:w="789" w:type="dxa"/>
            <w:tcBorders>
              <w:left w:val="single" w:sz="4" w:space="0" w:color="000001"/>
              <w:bottom w:val="single" w:sz="4" w:space="0" w:color="000001"/>
              <w:right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8"/>
                <w:szCs w:val="18"/>
                <w:highlight w:val="white"/>
              </w:rPr>
            </w:pPr>
            <w:r>
              <w:rPr>
                <w:rFonts w:eastAsia="Times New Roman" w:cs="Times New Roman" w:ascii="Carlito" w:hAnsi="Carlito"/>
                <w:b w:val="false"/>
                <w:bCs w:val="false"/>
                <w:color w:val="000000"/>
                <w:sz w:val="18"/>
                <w:szCs w:val="18"/>
                <w:highlight w:val="white"/>
              </w:rPr>
              <w:t>19645</w:t>
            </w:r>
          </w:p>
        </w:tc>
        <w:tc>
          <w:tcPr>
            <w:tcW w:w="1022"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454763</w:t>
            </w:r>
          </w:p>
        </w:tc>
        <w:tc>
          <w:tcPr>
            <w:tcW w:w="1184"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UN</w:t>
            </w:r>
          </w:p>
        </w:tc>
        <w:tc>
          <w:tcPr>
            <w:tcW w:w="917"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2</w:t>
            </w:r>
          </w:p>
        </w:tc>
        <w:tc>
          <w:tcPr>
            <w:tcW w:w="1185"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R$ 1.400,00</w:t>
            </w:r>
          </w:p>
        </w:tc>
        <w:tc>
          <w:tcPr>
            <w:tcW w:w="1149"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eastAsia="Times New Roman" w:cs="Tahoma"/>
                <w:color w:val="000000"/>
                <w:sz w:val="18"/>
                <w:szCs w:val="18"/>
                <w:lang w:bidi="ar-SA"/>
              </w:rPr>
            </w:pPr>
            <w:r>
              <w:rPr>
                <w:rFonts w:eastAsia="Times New Roman" w:cs="Tahoma" w:ascii="Carlito" w:hAnsi="Carlito"/>
                <w:color w:val="000000"/>
                <w:sz w:val="18"/>
                <w:szCs w:val="18"/>
                <w:lang w:bidi="ar-SA"/>
              </w:rPr>
              <w:t>R$ 2.800,00</w:t>
            </w:r>
          </w:p>
        </w:tc>
        <w:tc>
          <w:tcPr>
            <w:tcW w:w="1241"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Batalhão de Operações Especiais de Fuzileiros Navais</w:t>
            </w:r>
          </w:p>
        </w:tc>
        <w:tc>
          <w:tcPr>
            <w:tcW w:w="912"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 w:hAnsi="Carlito "/>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 w:hAnsi="Carlito "/>
          <w:i w:val="false"/>
          <w:iCs w:val="false"/>
          <w:color w:val="000000"/>
          <w:sz w:val="24"/>
          <w:szCs w:val="24"/>
        </w:rPr>
        <w:t>empresas controladoras, controladas ou coligadas, nos termos da </w:t>
      </w:r>
      <w:hyperlink r:id="rId2">
        <w:r>
          <w:rPr>
            <w:rStyle w:val="ListLabel12"/>
            <w:rFonts w:ascii="Carlito " w:hAnsi="Carlito "/>
            <w:i w:val="false"/>
            <w:iCs w:val="false"/>
            <w:color w:val="000080"/>
            <w:sz w:val="24"/>
            <w:szCs w:val="24"/>
            <w:u w:val="single"/>
          </w:rPr>
          <w:t>Lei nº 6.404, de 15 de dezembro de 1976</w:t>
        </w:r>
      </w:hyperlink>
      <w:r>
        <w:rPr>
          <w:rFonts w:ascii="Carlito " w:hAnsi="Carlito "/>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Todas as especificações do </w:t>
      </w:r>
      <w:r>
        <w:rPr>
          <w:rFonts w:ascii="Carlito " w:hAnsi="Carlito "/>
          <w:i w:val="false"/>
          <w:iCs w:val="false"/>
          <w:color w:val="000000"/>
          <w:sz w:val="24"/>
          <w:szCs w:val="24"/>
        </w:rPr>
        <w:t>objeto</w:t>
      </w:r>
      <w:r>
        <w:rPr>
          <w:rFonts w:ascii="Carlito " w:hAnsi="Carlito "/>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A apresentação das propostas implica obrigatoriedade do cumprimento das disposições nelas contidas, em conformidade com o que dispõe o </w:t>
      </w:r>
      <w:r>
        <w:rPr>
          <w:rFonts w:ascii="Carlito " w:hAnsi="Carlito "/>
          <w:i w:val="false"/>
          <w:iCs w:val="false"/>
          <w:color w:val="000000"/>
          <w:sz w:val="24"/>
          <w:szCs w:val="24"/>
        </w:rPr>
        <w:t>Termo de Referência,</w:t>
      </w:r>
      <w:r>
        <w:rPr>
          <w:rFonts w:ascii="Carlito " w:hAnsi="Carlito "/>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Uma vez enviada a proposta no sistema, os fornecedores </w:t>
      </w:r>
      <w:r>
        <w:rPr>
          <w:rFonts w:ascii="Carlito " w:hAnsi="Carlito "/>
          <w:b/>
          <w:i w:val="false"/>
          <w:iCs w:val="false"/>
          <w:sz w:val="24"/>
          <w:szCs w:val="24"/>
        </w:rPr>
        <w:t>NÃO</w:t>
      </w:r>
      <w:r>
        <w:rPr>
          <w:rFonts w:ascii="Carlito " w:hAnsi="Carlito "/>
          <w:i w:val="false"/>
          <w:iCs w:val="false"/>
          <w:sz w:val="24"/>
          <w:szCs w:val="24"/>
        </w:rPr>
        <w:t xml:space="preserve"> poderão retirá-la, substituí-la ou modificá-la</w:t>
      </w:r>
      <w:r>
        <w:rPr>
          <w:rFonts w:ascii="Carlito " w:hAnsi="Carlito "/>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No cadastramento da proposta inicial, o fornecedor deverá, também, assinalar “sim” ou “não” em campo </w:t>
      </w:r>
      <w:r>
        <w:rPr>
          <w:rFonts w:ascii="Carlito " w:hAnsi="Carlito "/>
          <w:i w:val="false"/>
          <w:iCs w:val="false"/>
          <w:sz w:val="24"/>
          <w:szCs w:val="24"/>
        </w:rPr>
        <w:t>próprio</w:t>
      </w:r>
      <w:r>
        <w:rPr>
          <w:rFonts w:ascii="Carlito " w:hAnsi="Carlito "/>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color w:val="000000"/>
          <w:sz w:val="24"/>
          <w:szCs w:val="24"/>
        </w:rPr>
        <w:t xml:space="preserve">O prazo de validade </w:t>
      </w:r>
      <w:r>
        <w:rPr>
          <w:rFonts w:ascii="Carlito " w:hAnsi="Carlito "/>
          <w:i w:val="false"/>
          <w:iCs w:val="false"/>
          <w:sz w:val="24"/>
          <w:szCs w:val="24"/>
        </w:rPr>
        <w:t>da</w:t>
      </w:r>
      <w:r>
        <w:rPr>
          <w:rFonts w:ascii="Carlito " w:hAnsi="Carlito "/>
          <w:i w:val="false"/>
          <w:iCs w:val="false"/>
          <w:color w:val="000000"/>
          <w:sz w:val="24"/>
          <w:szCs w:val="24"/>
        </w:rPr>
        <w:t xml:space="preserve"> proposta não será inferior a 40</w:t>
      </w:r>
      <w:r>
        <w:rPr>
          <w:rFonts w:ascii="Carlito " w:hAnsi="Carlito "/>
          <w:i w:val="false"/>
          <w:iCs w:val="false"/>
          <w:color w:val="FF0000"/>
          <w:sz w:val="24"/>
          <w:szCs w:val="24"/>
        </w:rPr>
        <w:t xml:space="preserve"> </w:t>
      </w:r>
      <w:r>
        <w:rPr>
          <w:rFonts w:ascii="Carlito " w:hAnsi="Carlito "/>
          <w:i w:val="false"/>
          <w:iCs w:val="false"/>
          <w:color w:val="000000"/>
          <w:sz w:val="24"/>
          <w:szCs w:val="24"/>
        </w:rPr>
        <w:t>(quarenta) dias</w:t>
      </w:r>
      <w:r>
        <w:rPr>
          <w:rFonts w:ascii="Carlito " w:hAnsi="Carlito "/>
          <w:b/>
          <w:i w:val="false"/>
          <w:iCs w:val="false"/>
          <w:color w:val="000000"/>
          <w:sz w:val="24"/>
          <w:szCs w:val="24"/>
        </w:rPr>
        <w:t>,</w:t>
      </w:r>
      <w:r>
        <w:rPr>
          <w:rFonts w:ascii="Carlito " w:hAnsi="Carlito "/>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Style w:val="ListLabel13"/>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Style w:val="ListLabel13"/>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 w:hAnsi="Carlito "/>
          <w:i w:val="false"/>
          <w:iCs w:val="false"/>
          <w:color w:val="FF0000"/>
          <w:sz w:val="24"/>
          <w:szCs w:val="24"/>
        </w:rPr>
        <w:t xml:space="preserve"> </w:t>
      </w:r>
      <w:r>
        <w:rPr>
          <w:rFonts w:ascii="Carlito " w:hAnsi="Carlito "/>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O prazo previsto para assinatura do contrato ou aceitação da nota de empenho ou instrumento equivalente poderá ser prorrogado </w:t>
      </w:r>
      <w:r>
        <w:rPr>
          <w:rFonts w:ascii="Carlito " w:hAnsi="Carlito "/>
          <w:i w:val="false"/>
          <w:iCs w:val="false"/>
          <w:sz w:val="24"/>
          <w:szCs w:val="24"/>
        </w:rPr>
        <w:t xml:space="preserve">1 (uma) vez, </w:t>
      </w:r>
      <w:r>
        <w:rPr>
          <w:rFonts w:ascii="Carlito " w:hAnsi="Carlito "/>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w:t>
      </w:r>
      <w:r>
        <w:rPr>
          <w:rFonts w:ascii="Carlito " w:hAnsi="Carlito "/>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 w:hAnsi="Carlito "/>
          <w:i w:val="false"/>
          <w:iCs w:val="false"/>
          <w:color w:val="000000"/>
          <w:sz w:val="24"/>
          <w:szCs w:val="24"/>
        </w:rPr>
        <w:t>praticar ato lesivo previsto no </w:t>
      </w:r>
      <w:r>
        <w:fldChar w:fldCharType="begin"/>
      </w:r>
      <w:r>
        <w:rPr>
          <w:rStyle w:val="ListLabel14"/>
          <w:sz w:val="24"/>
          <w:i w:val="false"/>
          <w:szCs w:val="24"/>
          <w:iCs w:val="false"/>
          <w:rFonts w:ascii="Carlito " w:hAnsi="Carlito "/>
          <w:color w:val="000000"/>
        </w:rPr>
        <w:instrText> HYPERLINK "http://www.planalto.gov.br/ccivil_03/_Ato2011-2014/2013/Lei/L12846.htm" \l "art5"</w:instrText>
      </w:r>
      <w:r>
        <w:rPr>
          <w:rStyle w:val="ListLabel14"/>
          <w:sz w:val="24"/>
          <w:i w:val="false"/>
          <w:szCs w:val="24"/>
          <w:iCs w:val="false"/>
          <w:rFonts w:ascii="Carlito " w:hAnsi="Carlito "/>
          <w:color w:val="000000"/>
        </w:rPr>
        <w:fldChar w:fldCharType="separate"/>
      </w:r>
      <w:r>
        <w:rPr>
          <w:rStyle w:val="ListLabel14"/>
          <w:rFonts w:ascii="Carlito " w:hAnsi="Carlito "/>
          <w:i w:val="false"/>
          <w:iCs w:val="false"/>
          <w:color w:val="000000"/>
          <w:sz w:val="24"/>
          <w:szCs w:val="24"/>
        </w:rPr>
        <w:t>art. 5º da Lei nº 12.846, de 1º de agosto de 2013.</w:t>
      </w:r>
      <w:r>
        <w:rPr>
          <w:rStyle w:val="ListLabel14"/>
          <w:sz w:val="24"/>
          <w:i w:val="false"/>
          <w:szCs w:val="24"/>
          <w:iCs w:val="false"/>
          <w:rFonts w:ascii="Carlito " w:hAnsi="Carlito "/>
          <w:color w:val="000000"/>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Multa de</w:t>
      </w:r>
      <w:r>
        <w:rPr>
          <w:rFonts w:ascii="Carlito " w:hAnsi="Carlito "/>
          <w:i w:val="false"/>
          <w:iCs w:val="false"/>
          <w:color w:val="000000"/>
          <w:sz w:val="24"/>
          <w:szCs w:val="24"/>
        </w:rPr>
        <w:t xml:space="preserve"> 3% (três por cento)</w:t>
      </w:r>
      <w:r>
        <w:rPr>
          <w:rFonts w:ascii="Carlito " w:hAnsi="Carlito "/>
          <w:i w:val="false"/>
          <w:iCs w:val="false"/>
          <w:color w:val="FF0000"/>
          <w:sz w:val="24"/>
          <w:szCs w:val="24"/>
        </w:rPr>
        <w:t xml:space="preserve"> </w:t>
      </w:r>
      <w:r>
        <w:rPr>
          <w:rFonts w:ascii="Carlito " w:hAnsi="Carlito "/>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Impedimento de licitar e contratar</w:t>
      </w:r>
      <w:r>
        <w:rPr>
          <w:rFonts w:ascii="Carlito " w:hAnsi="Carlito "/>
          <w:i w:val="false"/>
          <w:iCs w:val="false"/>
          <w:sz w:val="24"/>
          <w:szCs w:val="24"/>
        </w:rPr>
        <w:t xml:space="preserve"> </w:t>
      </w:r>
      <w:r>
        <w:rPr>
          <w:rFonts w:ascii="Carlito " w:hAnsi="Carlito "/>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 w:hAnsi="Carlito "/>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 w:hAnsi="Carlito "/>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znysh7"/>
      <w:bookmarkStart w:id="1" w:name="1fob9te"/>
      <w:bookmarkStart w:id="2" w:name="30j0zll"/>
      <w:bookmarkEnd w:id="0"/>
      <w:bookmarkEnd w:id="1"/>
      <w:bookmarkEnd w:id="2"/>
      <w:r>
        <w:rPr>
          <w:rFonts w:ascii="Carlito " w:hAnsi="Carlito "/>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rlito " w:hAnsi="Carlito "/>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rlito " w:hAnsi="Carlito "/>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Gestão/Unidade: 0001/795400</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Fonte: </w:t>
      </w:r>
      <w:r>
        <w:rPr>
          <w:rFonts w:eastAsia="Arial" w:cs="Arial" w:ascii="Carlito " w:hAnsi="Carlito "/>
          <w:i w:val="false"/>
          <w:iCs w:val="false"/>
          <w:color w:val="000000"/>
          <w:kern w:val="0"/>
          <w:sz w:val="24"/>
          <w:szCs w:val="24"/>
          <w:lang w:val="pt-BR" w:eastAsia="zh-CN" w:bidi="hi-IN"/>
        </w:rPr>
        <w:t>1050000144</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Programa de Trabalho: </w:t>
      </w:r>
      <w:r>
        <w:rPr>
          <w:rFonts w:eastAsia="Arial" w:cs="Arial" w:ascii="Carlito " w:hAnsi="Carlito "/>
          <w:i w:val="false"/>
          <w:iCs w:val="false"/>
          <w:color w:val="000000"/>
          <w:kern w:val="0"/>
          <w:sz w:val="24"/>
          <w:szCs w:val="24"/>
          <w:lang w:val="pt-BR" w:eastAsia="zh-CN" w:bidi="hi-IN"/>
        </w:rPr>
        <w:t>174678</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Elemento de Despesa: 339030</w:t>
      </w:r>
    </w:p>
    <w:p>
      <w:pPr>
        <w:pStyle w:val="Normal"/>
        <w:numPr>
          <w:ilvl w:val="0"/>
          <w:numId w:val="0"/>
        </w:numPr>
        <w:spacing w:lineRule="auto" w:line="276" w:before="63" w:after="63"/>
        <w:ind w:left="1494" w:hanging="0"/>
        <w:jc w:val="both"/>
        <w:rPr>
          <w:rFonts w:ascii="Carlito " w:hAnsi="Carlito "/>
          <w:color w:val="000000"/>
          <w:sz w:val="24"/>
          <w:szCs w:val="24"/>
        </w:rPr>
      </w:pPr>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PI: G.471.MN.B.0.1.L0/ Z.4C3.SL.N.0.1.L0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II - Ato de Autorização; </w:t>
      </w:r>
    </w:p>
    <w:p>
      <w:pPr>
        <w:pStyle w:val="Normal"/>
        <w:numPr>
          <w:ilvl w:val="2"/>
          <w:numId w:val="3"/>
        </w:numPr>
        <w:spacing w:lineRule="auto" w:line="276" w:before="120" w:after="120"/>
        <w:jc w:val="both"/>
        <w:rPr/>
      </w:pPr>
      <w:r>
        <w:rPr>
          <w:rFonts w:ascii="Carlito " w:hAnsi="Carlito "/>
          <w:i w:val="false"/>
          <w:iCs w:val="false"/>
          <w:color w:val="000000"/>
          <w:sz w:val="24"/>
          <w:szCs w:val="24"/>
        </w:rPr>
        <w:t xml:space="preserve">ANEXO III –Termo de Referência; </w:t>
      </w:r>
    </w:p>
    <w:p>
      <w:pPr>
        <w:pStyle w:val="Normal"/>
        <w:numPr>
          <w:ilvl w:val="2"/>
          <w:numId w:val="3"/>
        </w:numPr>
        <w:spacing w:lineRule="auto" w:line="276" w:before="120" w:after="120"/>
        <w:jc w:val="both"/>
        <w:rPr/>
      </w:pPr>
      <w:r>
        <w:rPr>
          <w:rFonts w:ascii="Carlito " w:hAnsi="Carlito "/>
          <w:i w:val="false"/>
          <w:iCs w:val="false"/>
          <w:color w:val="000000"/>
          <w:sz w:val="24"/>
          <w:szCs w:val="24"/>
        </w:rPr>
        <w:t>ANEXO IV – Documentação exigida para Habilitação.</w:t>
      </w:r>
    </w:p>
    <w:p>
      <w:pPr>
        <w:pStyle w:val="Normal"/>
        <w:numPr>
          <w:ilvl w:val="0"/>
          <w:numId w:val="0"/>
        </w:numPr>
        <w:spacing w:lineRule="auto" w:line="276" w:before="120" w:after="120"/>
        <w:ind w:left="1224"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0" w:after="120"/>
        <w:ind w:left="360" w:right="-15" w:hanging="0"/>
        <w:jc w:val="both"/>
        <w:rPr>
          <w:rFonts w:ascii="Carlito " w:hAnsi="Carlito "/>
          <w:sz w:val="24"/>
          <w:szCs w:val="24"/>
        </w:rPr>
      </w:pPr>
      <w:r>
        <w:rPr>
          <w:rFonts w:ascii="Carlito " w:hAnsi="Carlito "/>
          <w:i w:val="false"/>
          <w:iCs w:val="false"/>
          <w:color w:val="000000"/>
          <w:sz w:val="24"/>
          <w:szCs w:val="24"/>
        </w:rPr>
        <w:t>Rio de Janeiro ,       de                    de 2023</w:t>
      </w:r>
    </w:p>
    <w:p>
      <w:pPr>
        <w:pStyle w:val="Normal"/>
        <w:spacing w:lineRule="auto" w:line="276" w:before="0" w:after="120"/>
        <w:ind w:left="360" w:right="-15"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Calibri"/>
        <w:rPr>
          <w:rFonts w:ascii="Carlito " w:hAnsi="Carlito "/>
          <w:sz w:val="24"/>
          <w:szCs w:val="24"/>
        </w:rPr>
      </w:pPr>
      <w:r>
        <w:rPr>
          <w:rFonts w:ascii="Carlito " w:hAnsi="Carlito "/>
          <w:sz w:val="24"/>
          <w:szCs w:val="24"/>
        </w:rPr>
        <w:t>_____________________________________</w:t>
      </w:r>
    </w:p>
    <w:p>
      <w:pPr>
        <w:pStyle w:val="Contedodatabela"/>
        <w:jc w:val="center"/>
        <w:rPr>
          <w:rFonts w:ascii="Arial" w:hAnsi="Arial"/>
          <w:color w:val="000000"/>
          <w:sz w:val="24"/>
        </w:rPr>
      </w:pPr>
      <w:r>
        <w:rPr>
          <w:b/>
          <w:bCs/>
          <w:color w:val="000000"/>
          <w:sz w:val="24"/>
        </w:rPr>
        <w:t>ARISTONE</w:t>
      </w:r>
      <w:r>
        <w:rPr>
          <w:color w:val="000000"/>
          <w:sz w:val="24"/>
        </w:rPr>
        <w:t xml:space="preserve"> LEAL MOURA </w:t>
      </w:r>
    </w:p>
    <w:p>
      <w:pPr>
        <w:pStyle w:val="Contedodatabela"/>
        <w:jc w:val="center"/>
        <w:rPr>
          <w:rFonts w:ascii="Arial" w:hAnsi="Arial"/>
          <w:sz w:val="24"/>
        </w:rPr>
      </w:pPr>
      <w:r>
        <w:rPr>
          <w:sz w:val="24"/>
        </w:rPr>
        <w:t xml:space="preserve">Capitão de Mar e Guerra (FN) </w:t>
      </w:r>
    </w:p>
    <w:p>
      <w:pPr>
        <w:pStyle w:val="Contedodatabela"/>
        <w:spacing w:lineRule="atLeast" w:line="283"/>
        <w:jc w:val="center"/>
        <w:rPr>
          <w:rFonts w:ascii="Carlito" w:hAnsi="Carlito"/>
          <w:color w:val="000000"/>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shd w:fill="auto" w:val="clear"/>
          <w:em w:val="none"/>
        </w:rPr>
        <w:t xml:space="preserve">Ordenador de Despesas </w:t>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widowControl w:val="false"/>
        <w:suppressAutoHyphens w:val="true"/>
        <w:overflowPunct w:val="true"/>
        <w:bidi w:val="0"/>
        <w:spacing w:before="0" w:after="0"/>
        <w:ind w:left="-567" w:right="-567" w:hanging="0"/>
        <w:jc w:val="both"/>
        <w:textAlignment w:val="baseline"/>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sz w:val="24"/>
          <w:szCs w:val="24"/>
        </w:rPr>
      </w:pPr>
      <w:r>
        <w:rPr>
          <w:rFonts w:ascii="Carlito " w:hAnsi="Carlito "/>
          <w:b/>
          <w:i w:val="false"/>
          <w:iCs w:val="false"/>
          <w:sz w:val="24"/>
          <w:szCs w:val="24"/>
        </w:rPr>
        <w:t>ANEXO IV – DOCUMENTAÇÃO EXIGIDA PARA HABILITAÇÃO</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inscrição no Cadastro Nacional de Pessoas Jurídicas ou no Cadastro de Pessoas Físicas, conforme o caso;</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color w:val="000000"/>
          <w:sz w:val="24"/>
          <w:szCs w:val="24"/>
        </w:rPr>
        <w:t>prova de regularidade com o Fundo de Garantia do Tempo de Serviço (FGTS);</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
    <w:altName w:val="Calibri"/>
    <w:charset w:val="01"/>
    <w:family w:val="roman"/>
    <w:pitch w:val="variable"/>
  </w:font>
  <w:font w:name="Carlito">
    <w:altName w:val="Calibri"/>
    <w:charset w:val="01"/>
    <w:family w:val="swiss"/>
    <w:pitch w:val="default"/>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367"/>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367"/>
        <w:tab w:val="left" w:pos="360" w:leader="none"/>
      </w:tabs>
      <w:suppressAutoHyphens w:val="true"/>
      <w:overflowPunct w:val="fals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367"/>
        <w:tab w:val="left" w:pos="360" w:leader="none"/>
      </w:tabs>
      <w:suppressAutoHyphens w:val="true"/>
      <w:overflowPunct w:val="fals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367"/>
        <w:tab w:val="left" w:pos="360" w:leader="none"/>
      </w:tabs>
      <w:suppressAutoHyphens w:val="true"/>
      <w:overflowPunct w:val="fals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367"/>
        <w:tab w:val="left" w:pos="360" w:leader="none"/>
      </w:tabs>
      <w:suppressAutoHyphens w:val="true"/>
      <w:overflowPunct w:val="fals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367"/>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367"/>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973</TotalTime>
  <Application>LibreOffice/6.4.7.2$Linux_X86_64 LibreOffice_project/40$Build-2</Application>
  <Pages>15</Pages>
  <Words>4783</Words>
  <Characters>27676</Characters>
  <CharactersWithSpaces>32120</CharactersWithSpaces>
  <Paragraphs>257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2023-07-28T13:35:05Z</dcterms:modified>
  <cp:revision>228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